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8E20B" w14:textId="3409F0E4" w:rsidR="002A3DAB" w:rsidRPr="0023519E" w:rsidRDefault="00000000">
      <w:pPr>
        <w:widowControl/>
        <w:jc w:val="left"/>
        <w:rPr>
          <w:b/>
          <w:bCs/>
          <w:sz w:val="28"/>
          <w:szCs w:val="28"/>
        </w:rPr>
      </w:pPr>
      <w:r w:rsidRPr="0023519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附件</w:t>
      </w:r>
      <w:r w:rsidR="00774870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3</w:t>
      </w:r>
      <w:r w:rsidRPr="0023519E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 xml:space="preserve">： </w:t>
      </w:r>
    </w:p>
    <w:p w14:paraId="5FAFD267" w14:textId="77777777" w:rsidR="006365F8" w:rsidRPr="006365F8" w:rsidRDefault="00000000" w:rsidP="006365F8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</w:pPr>
      <w:r w:rsidRPr="006365F8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  <w:t>广西师范大学教育学部</w:t>
      </w:r>
      <w:r w:rsidR="006365F8" w:rsidRPr="006365F8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  <w:t>第二</w:t>
      </w:r>
      <w:r w:rsidRPr="006365F8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  <w:t>届本科生生涯规划大赛</w:t>
      </w:r>
    </w:p>
    <w:p w14:paraId="0C86774A" w14:textId="77777777" w:rsidR="0023519E" w:rsidRDefault="00000000" w:rsidP="0023519E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</w:pPr>
      <w:r w:rsidRPr="006365F8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  <w:lang w:bidi="ar"/>
        </w:rPr>
        <w:t>评分标准</w:t>
      </w:r>
    </w:p>
    <w:p w14:paraId="27F94D90" w14:textId="35ED6986" w:rsidR="0023519E" w:rsidRPr="0023519E" w:rsidRDefault="0023519E" w:rsidP="0023519E">
      <w:pPr>
        <w:widowControl/>
        <w:adjustRightInd w:val="0"/>
        <w:snapToGrid w:val="0"/>
        <w:spacing w:beforeLines="50" w:before="156"/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  <w:lang w:bidi="ar"/>
        </w:rPr>
      </w:pPr>
      <w:r w:rsidRPr="006365F8"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  <w:t>第一阶段</w:t>
      </w: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（</w:t>
      </w:r>
      <w:r w:rsidRPr="006365F8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初</w:t>
      </w:r>
      <w:r w:rsidRPr="006365F8"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  <w:t>赛</w:t>
      </w: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）</w:t>
      </w:r>
    </w:p>
    <w:p w14:paraId="2A62F67F" w14:textId="4AFEB1D6" w:rsidR="006365F8" w:rsidRPr="006365F8" w:rsidRDefault="00000000" w:rsidP="0023519E">
      <w:pPr>
        <w:widowControl/>
        <w:adjustRightInd w:val="0"/>
        <w:snapToGrid w:val="0"/>
        <w:spacing w:beforeLines="50" w:before="156" w:line="360" w:lineRule="auto"/>
        <w:jc w:val="center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</w:pPr>
      <w:r w:rsidRPr="006365F8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《个人职业生涯规划书》作品 （占</w:t>
      </w:r>
      <w:r w:rsidR="0023519E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总决赛</w:t>
      </w:r>
      <w:r w:rsidRPr="006365F8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成绩的 50%）</w:t>
      </w:r>
    </w:p>
    <w:tbl>
      <w:tblPr>
        <w:tblStyle w:val="a5"/>
        <w:tblW w:w="5177" w:type="pct"/>
        <w:jc w:val="center"/>
        <w:tblLook w:val="04A0" w:firstRow="1" w:lastRow="0" w:firstColumn="1" w:lastColumn="0" w:noHBand="0" w:noVBand="1"/>
      </w:tblPr>
      <w:tblGrid>
        <w:gridCol w:w="1355"/>
        <w:gridCol w:w="7469"/>
      </w:tblGrid>
      <w:tr w:rsidR="002A3DAB" w14:paraId="3C7956FA" w14:textId="77777777">
        <w:trPr>
          <w:trHeight w:val="487"/>
          <w:jc w:val="center"/>
        </w:trPr>
        <w:tc>
          <w:tcPr>
            <w:tcW w:w="768" w:type="pct"/>
            <w:vAlign w:val="center"/>
          </w:tcPr>
          <w:p w14:paraId="3D2CCF0F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评分要点</w:t>
            </w:r>
          </w:p>
        </w:tc>
        <w:tc>
          <w:tcPr>
            <w:tcW w:w="4231" w:type="pct"/>
            <w:vAlign w:val="center"/>
          </w:tcPr>
          <w:p w14:paraId="7B105427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具体描述</w:t>
            </w:r>
          </w:p>
        </w:tc>
      </w:tr>
      <w:tr w:rsidR="002A3DAB" w14:paraId="1D02AEE5" w14:textId="77777777">
        <w:trPr>
          <w:trHeight w:val="23"/>
          <w:jc w:val="center"/>
        </w:trPr>
        <w:tc>
          <w:tcPr>
            <w:tcW w:w="768" w:type="pct"/>
            <w:vMerge w:val="restart"/>
            <w:vAlign w:val="center"/>
          </w:tcPr>
          <w:p w14:paraId="160A8393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自我探索</w:t>
            </w:r>
          </w:p>
          <w:p w14:paraId="2C664E35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（25%）</w:t>
            </w:r>
          </w:p>
        </w:tc>
        <w:tc>
          <w:tcPr>
            <w:tcW w:w="4231" w:type="pct"/>
          </w:tcPr>
          <w:p w14:paraId="6BD31CBF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1．全面梳理个人成长经历，并从中分析个人特质，挖掘个人生命主题。 </w:t>
            </w:r>
          </w:p>
        </w:tc>
      </w:tr>
      <w:tr w:rsidR="002A3DAB" w14:paraId="08922FE5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0AFC4310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0AA57550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2. 深入分析家庭与环境资源对个人的影响，并与个人选择相联系。 </w:t>
            </w:r>
          </w:p>
        </w:tc>
      </w:tr>
      <w:tr w:rsidR="002A3DAB" w14:paraId="3BEB1EE9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6B440FA6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2D193AA2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3.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充分探索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学校资源，结合个人实践经历，从中探索未来发展方向。</w:t>
            </w:r>
          </w:p>
        </w:tc>
      </w:tr>
      <w:tr w:rsidR="002A3DAB" w14:paraId="6E8FCB86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460DA41D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145DD3B7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4. 能结合科学测评工具，进一步认识自我。测评解读正确到位，有充分的事例验证。</w:t>
            </w:r>
          </w:p>
        </w:tc>
      </w:tr>
      <w:tr w:rsidR="002A3DAB" w14:paraId="138C82A1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1D7FCECA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4B2CDFA4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5. 正确运用职业自我四维模型（兴趣、性格、能力、价值观）分析个人特质与职业 选择的联系。 </w:t>
            </w:r>
          </w:p>
        </w:tc>
      </w:tr>
      <w:tr w:rsidR="002A3DAB" w14:paraId="3D6026F6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107C0B1F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01C35352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6. 通过个人反思、科学测评、他人评价、实践探索等多种方法探索自我，对自我的 认识全面深入。</w:t>
            </w:r>
          </w:p>
        </w:tc>
      </w:tr>
      <w:tr w:rsidR="002A3DAB" w14:paraId="339CD087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2CC391B9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65BA3554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7. 自我探索后的职业方向应包含多种可能性和发展方向。</w:t>
            </w:r>
          </w:p>
        </w:tc>
      </w:tr>
      <w:tr w:rsidR="002A3DAB" w14:paraId="74DAB07D" w14:textId="77777777">
        <w:trPr>
          <w:jc w:val="center"/>
        </w:trPr>
        <w:tc>
          <w:tcPr>
            <w:tcW w:w="768" w:type="pct"/>
            <w:vMerge w:val="restart"/>
            <w:vAlign w:val="center"/>
          </w:tcPr>
          <w:p w14:paraId="21F88BEF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职业探索</w:t>
            </w:r>
          </w:p>
          <w:p w14:paraId="571D0ED6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（25%）</w:t>
            </w:r>
          </w:p>
        </w:tc>
        <w:tc>
          <w:tcPr>
            <w:tcW w:w="4231" w:type="pct"/>
          </w:tcPr>
          <w:p w14:paraId="10CF1EBB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1．了解社会的整体就业趋势，了解当前大学生的就业状况。</w:t>
            </w:r>
          </w:p>
        </w:tc>
      </w:tr>
      <w:tr w:rsidR="002A3DAB" w14:paraId="2A848EA0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04B1B356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30398A8A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 对目标职业所处行业现状、前景及行业就业需求了解清晰。</w:t>
            </w:r>
          </w:p>
        </w:tc>
      </w:tr>
      <w:tr w:rsidR="002A3DAB" w14:paraId="5FFBBB74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3A605655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1CDCDC4A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3．熟悉目标职业的工作内容、工作环境、典型生活方式，了解目标职业的待遇、回馈及未来发展。</w:t>
            </w:r>
          </w:p>
        </w:tc>
      </w:tr>
      <w:tr w:rsidR="002A3DAB" w14:paraId="5AA8F92F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5753304C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2D70C7A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4．对目标职位的进入途径、胜任标准了解清晰，深入了解目标职业对生活的影响。</w:t>
            </w:r>
          </w:p>
        </w:tc>
      </w:tr>
      <w:tr w:rsidR="002A3DAB" w14:paraId="4EE1A1BC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1F6C68E7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1D011DD1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5．调查 1-3 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个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可能选择的职业，包含首选职业与备选职业，清楚不同职业的优势与挑战。</w:t>
            </w:r>
          </w:p>
        </w:tc>
      </w:tr>
      <w:tr w:rsidR="002A3DAB" w14:paraId="1DA34FEE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410675B9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2FDF1E8A" w14:textId="77777777" w:rsidR="002A3DAB" w:rsidRDefault="00000000" w:rsidP="0023519E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6．在探索过程中应用到文献检索、访谈、见习、实习等多种方法。</w:t>
            </w:r>
          </w:p>
        </w:tc>
      </w:tr>
      <w:tr w:rsidR="002A3DAB" w14:paraId="627DB2E9" w14:textId="77777777">
        <w:trPr>
          <w:jc w:val="center"/>
        </w:trPr>
        <w:tc>
          <w:tcPr>
            <w:tcW w:w="768" w:type="pct"/>
            <w:vMerge w:val="restart"/>
            <w:vAlign w:val="center"/>
          </w:tcPr>
          <w:p w14:paraId="1D3E0EFE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职业决策</w:t>
            </w:r>
          </w:p>
          <w:p w14:paraId="70D1DC38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（15%）</w:t>
            </w:r>
          </w:p>
          <w:p w14:paraId="3DFA4828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45AEEB17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1．职业目标决策要紧密结合自我探索与职业探索结果，分析个人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优劣势及面临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的机会和挑战，职业目标的选择过程阐述详尽，合乎逻辑。 </w:t>
            </w:r>
          </w:p>
        </w:tc>
      </w:tr>
      <w:tr w:rsidR="002A3DAB" w14:paraId="364AE876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0B458185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04867BE0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2．首选职业目标制定要符合实际、可执行、可实现。 </w:t>
            </w:r>
          </w:p>
        </w:tc>
      </w:tr>
      <w:tr w:rsidR="002A3DAB" w14:paraId="3384B01D" w14:textId="77777777">
        <w:trPr>
          <w:trHeight w:val="422"/>
          <w:jc w:val="center"/>
        </w:trPr>
        <w:tc>
          <w:tcPr>
            <w:tcW w:w="768" w:type="pct"/>
            <w:vMerge/>
            <w:vAlign w:val="center"/>
          </w:tcPr>
          <w:p w14:paraId="72C4D786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048D15A9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3．备选目标职业发展路径与首选目标发展路径要有一定相关性。</w:t>
            </w:r>
          </w:p>
        </w:tc>
      </w:tr>
      <w:tr w:rsidR="002A3DAB" w14:paraId="36823143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04651976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358E7DF0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4．能够正确运用评估理论和决策模型做出决策。</w:t>
            </w:r>
          </w:p>
        </w:tc>
      </w:tr>
      <w:tr w:rsidR="002A3DAB" w14:paraId="178E3D6F" w14:textId="77777777">
        <w:trPr>
          <w:jc w:val="center"/>
        </w:trPr>
        <w:tc>
          <w:tcPr>
            <w:tcW w:w="768" w:type="pct"/>
            <w:vMerge w:val="restart"/>
            <w:vAlign w:val="center"/>
          </w:tcPr>
          <w:p w14:paraId="3BA89F59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计划路径</w:t>
            </w:r>
          </w:p>
          <w:p w14:paraId="4EF5E229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（15%）</w:t>
            </w:r>
          </w:p>
          <w:p w14:paraId="49F22E03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6ADC113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1．行动计划对保持个人优势、加强不足、全面提升竞争力有针对性、可操作性。 </w:t>
            </w:r>
          </w:p>
        </w:tc>
      </w:tr>
      <w:tr w:rsidR="002A3DAB" w14:paraId="68278E5F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46D790EF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56DFF0D9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2．近期计划详尽清晰、可操作性强，中期计划清晰并具有灵活性，长期计划具有方向性。 </w:t>
            </w:r>
          </w:p>
        </w:tc>
      </w:tr>
      <w:tr w:rsidR="002A3DAB" w14:paraId="60FC2426" w14:textId="77777777">
        <w:trPr>
          <w:trHeight w:val="90"/>
          <w:jc w:val="center"/>
        </w:trPr>
        <w:tc>
          <w:tcPr>
            <w:tcW w:w="768" w:type="pct"/>
            <w:vMerge/>
            <w:vAlign w:val="center"/>
          </w:tcPr>
          <w:p w14:paraId="508DAEAC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6672E65B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3．职业发展路径充分考虑进入途径、胜任标准等探索结果，符合逻辑和现实，具有可操作性和竞争力。 </w:t>
            </w:r>
          </w:p>
        </w:tc>
      </w:tr>
      <w:tr w:rsidR="002A3DAB" w14:paraId="5BA50767" w14:textId="77777777">
        <w:trPr>
          <w:jc w:val="center"/>
        </w:trPr>
        <w:tc>
          <w:tcPr>
            <w:tcW w:w="768" w:type="pct"/>
            <w:vMerge w:val="restart"/>
            <w:vAlign w:val="center"/>
          </w:tcPr>
          <w:p w14:paraId="44039FA5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评估调整</w:t>
            </w:r>
          </w:p>
          <w:p w14:paraId="5A104E9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（10%）</w:t>
            </w:r>
          </w:p>
          <w:p w14:paraId="3EA4B66D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4FF741D2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1．对行动计划和职业目标设定评估方案，如要达到什么标准，评估的要素是什么。</w:t>
            </w:r>
          </w:p>
        </w:tc>
      </w:tr>
      <w:tr w:rsidR="002A3DAB" w14:paraId="4C0030F1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6519ECC2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2E9CAF5C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2．能够对行动计划实施过程和风险做出评估，并制定切实可行的调整方案。 </w:t>
            </w:r>
          </w:p>
        </w:tc>
      </w:tr>
      <w:tr w:rsidR="002A3DAB" w14:paraId="6FA16482" w14:textId="77777777">
        <w:trPr>
          <w:jc w:val="center"/>
        </w:trPr>
        <w:tc>
          <w:tcPr>
            <w:tcW w:w="768" w:type="pct"/>
            <w:vMerge/>
            <w:vAlign w:val="center"/>
          </w:tcPr>
          <w:p w14:paraId="3E626332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5F84403E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3．调整方案的制定充分根据个人与环境的评估进行分析确定，充分考虑首选目标与备选目标间的联系和差异，具有可操作性。 </w:t>
            </w:r>
          </w:p>
        </w:tc>
      </w:tr>
      <w:tr w:rsidR="002A3DAB" w14:paraId="207CB0EB" w14:textId="77777777">
        <w:trPr>
          <w:jc w:val="center"/>
        </w:trPr>
        <w:tc>
          <w:tcPr>
            <w:tcW w:w="768" w:type="pct"/>
            <w:vMerge w:val="restart"/>
            <w:vAlign w:val="center"/>
          </w:tcPr>
          <w:p w14:paraId="1D99D533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作品撰写</w:t>
            </w:r>
          </w:p>
          <w:p w14:paraId="3194D6A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（10%）</w:t>
            </w:r>
          </w:p>
          <w:p w14:paraId="35FC79D3" w14:textId="77777777" w:rsidR="002A3DAB" w:rsidRDefault="002A3DAB" w:rsidP="0023519E">
            <w:pPr>
              <w:adjustRightInd w:val="0"/>
              <w:snapToGrid w:val="0"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31DA585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1．作品内容完整，对自我和外部环境分析全面，提出自己的职业目标、发展路径和行动计划。</w:t>
            </w:r>
          </w:p>
        </w:tc>
      </w:tr>
      <w:tr w:rsidR="002A3DAB" w14:paraId="27482683" w14:textId="77777777">
        <w:trPr>
          <w:trHeight w:val="528"/>
          <w:jc w:val="center"/>
        </w:trPr>
        <w:tc>
          <w:tcPr>
            <w:tcW w:w="768" w:type="pct"/>
            <w:vMerge/>
          </w:tcPr>
          <w:p w14:paraId="6A9BE5A2" w14:textId="77777777" w:rsidR="002A3DAB" w:rsidRDefault="002A3DAB" w:rsidP="0023519E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79C575E1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 xml:space="preserve">2．报告思路清晰、逻辑合理，能准确把握职业规划设计的核心与关键。 </w:t>
            </w:r>
          </w:p>
        </w:tc>
      </w:tr>
      <w:tr w:rsidR="002A3DAB" w14:paraId="04A6F852" w14:textId="77777777">
        <w:trPr>
          <w:jc w:val="center"/>
        </w:trPr>
        <w:tc>
          <w:tcPr>
            <w:tcW w:w="768" w:type="pct"/>
            <w:vMerge/>
          </w:tcPr>
          <w:p w14:paraId="15FA271D" w14:textId="77777777" w:rsidR="002A3DAB" w:rsidRDefault="002A3DAB" w:rsidP="0023519E">
            <w:pPr>
              <w:adjustRightInd w:val="0"/>
              <w:snapToGrid w:val="0"/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4231" w:type="pct"/>
          </w:tcPr>
          <w:p w14:paraId="38BB4DDD" w14:textId="77777777" w:rsidR="002A3DAB" w:rsidRDefault="00000000" w:rsidP="0023519E"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3．报告格式清晰，图文并茂，文字流畅。</w:t>
            </w:r>
          </w:p>
        </w:tc>
      </w:tr>
    </w:tbl>
    <w:p w14:paraId="14911DE2" w14:textId="77777777" w:rsidR="002A3DAB" w:rsidRDefault="002A3DAB"/>
    <w:p w14:paraId="1E343481" w14:textId="77777777" w:rsidR="002A3DAB" w:rsidRDefault="002A3DAB"/>
    <w:p w14:paraId="53CF04B1" w14:textId="77777777" w:rsidR="002A3DAB" w:rsidRDefault="002A3DAB"/>
    <w:p w14:paraId="47F3CD3F" w14:textId="77777777" w:rsidR="002A3DAB" w:rsidRDefault="00000000">
      <w:pPr>
        <w:tabs>
          <w:tab w:val="left" w:pos="1338"/>
        </w:tabs>
        <w:jc w:val="left"/>
      </w:pPr>
      <w:r>
        <w:rPr>
          <w:rFonts w:hint="eastAsia"/>
        </w:rPr>
        <w:tab/>
      </w:r>
    </w:p>
    <w:p w14:paraId="6F15C6A5" w14:textId="77777777" w:rsidR="002A3DAB" w:rsidRDefault="002A3DAB">
      <w:pPr>
        <w:tabs>
          <w:tab w:val="left" w:pos="1338"/>
        </w:tabs>
        <w:jc w:val="left"/>
      </w:pPr>
    </w:p>
    <w:p w14:paraId="3172A333" w14:textId="77777777" w:rsidR="002A3DAB" w:rsidRDefault="002A3DAB">
      <w:pPr>
        <w:tabs>
          <w:tab w:val="left" w:pos="1338"/>
        </w:tabs>
        <w:jc w:val="left"/>
      </w:pPr>
    </w:p>
    <w:p w14:paraId="15EBADBA" w14:textId="77777777" w:rsidR="002A3DAB" w:rsidRDefault="002A3DAB">
      <w:pPr>
        <w:tabs>
          <w:tab w:val="left" w:pos="1338"/>
        </w:tabs>
        <w:jc w:val="left"/>
      </w:pPr>
    </w:p>
    <w:p w14:paraId="0D747604" w14:textId="77777777" w:rsidR="002A3DAB" w:rsidRDefault="002A3DAB">
      <w:pPr>
        <w:tabs>
          <w:tab w:val="left" w:pos="1338"/>
        </w:tabs>
        <w:jc w:val="left"/>
      </w:pPr>
    </w:p>
    <w:p w14:paraId="47E028D5" w14:textId="77777777" w:rsidR="002A3DAB" w:rsidRDefault="002A3DAB">
      <w:pPr>
        <w:tabs>
          <w:tab w:val="left" w:pos="1338"/>
        </w:tabs>
        <w:jc w:val="left"/>
      </w:pPr>
    </w:p>
    <w:p w14:paraId="7D8B41C0" w14:textId="77777777" w:rsidR="002A3DAB" w:rsidRDefault="002A3DAB">
      <w:pPr>
        <w:tabs>
          <w:tab w:val="left" w:pos="1338"/>
        </w:tabs>
        <w:jc w:val="left"/>
      </w:pPr>
    </w:p>
    <w:p w14:paraId="626662CD" w14:textId="77777777" w:rsidR="002A3DAB" w:rsidRDefault="002A3DAB">
      <w:pPr>
        <w:tabs>
          <w:tab w:val="left" w:pos="1338"/>
        </w:tabs>
        <w:jc w:val="left"/>
      </w:pPr>
    </w:p>
    <w:p w14:paraId="0CE93CA6" w14:textId="77777777" w:rsidR="002A3DAB" w:rsidRDefault="002A3DAB">
      <w:pPr>
        <w:tabs>
          <w:tab w:val="left" w:pos="1338"/>
        </w:tabs>
        <w:jc w:val="left"/>
      </w:pPr>
    </w:p>
    <w:p w14:paraId="6AC86E8A" w14:textId="77777777" w:rsidR="002A3DAB" w:rsidRDefault="002A3DAB">
      <w:pPr>
        <w:tabs>
          <w:tab w:val="left" w:pos="1338"/>
        </w:tabs>
        <w:jc w:val="left"/>
      </w:pPr>
    </w:p>
    <w:p w14:paraId="264593DA" w14:textId="77777777" w:rsidR="002A3DAB" w:rsidRDefault="002A3DAB">
      <w:pPr>
        <w:tabs>
          <w:tab w:val="left" w:pos="1338"/>
        </w:tabs>
        <w:jc w:val="left"/>
      </w:pPr>
    </w:p>
    <w:p w14:paraId="5645E571" w14:textId="77777777" w:rsidR="002A3DAB" w:rsidRDefault="002A3DAB">
      <w:pPr>
        <w:tabs>
          <w:tab w:val="left" w:pos="1338"/>
        </w:tabs>
        <w:jc w:val="left"/>
      </w:pPr>
    </w:p>
    <w:p w14:paraId="527FF252" w14:textId="77777777" w:rsidR="002A3DAB" w:rsidRDefault="00000000">
      <w:r>
        <w:rPr>
          <w:rFonts w:hint="eastAsia"/>
        </w:rPr>
        <w:br w:type="page"/>
      </w:r>
    </w:p>
    <w:p w14:paraId="1A029DA1" w14:textId="7F0C38E9" w:rsidR="0023519E" w:rsidRDefault="0023519E" w:rsidP="0023519E">
      <w:pPr>
        <w:widowControl/>
        <w:jc w:val="center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</w:pPr>
      <w:r w:rsidRPr="006365F8"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  <w:lastRenderedPageBreak/>
        <w:t>第二阶段</w:t>
      </w: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（</w:t>
      </w:r>
      <w:r w:rsidRPr="006365F8"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  <w:t>决赛</w:t>
      </w:r>
      <w:r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）</w:t>
      </w:r>
    </w:p>
    <w:p w14:paraId="696515A5" w14:textId="4D503B60" w:rsidR="002A3DAB" w:rsidRPr="006365F8" w:rsidRDefault="00000000" w:rsidP="0023519E">
      <w:pPr>
        <w:widowControl/>
        <w:jc w:val="center"/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</w:pPr>
      <w:r w:rsidRPr="006365F8">
        <w:rPr>
          <w:rFonts w:ascii="黑体" w:eastAsia="黑体" w:hAnsi="黑体" w:cs="黑体" w:hint="eastAsia"/>
          <w:b/>
          <w:bCs/>
          <w:color w:val="000000"/>
          <w:kern w:val="0"/>
          <w:sz w:val="32"/>
          <w:szCs w:val="32"/>
          <w:lang w:bidi="ar"/>
        </w:rPr>
        <w:t>PPT</w:t>
      </w:r>
      <w:r w:rsidRPr="006365F8">
        <w:rPr>
          <w:rFonts w:ascii="黑体" w:eastAsia="黑体" w:hAnsi="黑体" w:cs="黑体"/>
          <w:b/>
          <w:bCs/>
          <w:color w:val="000000"/>
          <w:kern w:val="0"/>
          <w:sz w:val="32"/>
          <w:szCs w:val="32"/>
          <w:lang w:bidi="ar"/>
        </w:rPr>
        <w:t>展示及答辩（占总决赛成绩 50%）</w:t>
      </w:r>
    </w:p>
    <w:tbl>
      <w:tblPr>
        <w:tblStyle w:val="a5"/>
        <w:tblpPr w:leftFromText="180" w:rightFromText="180" w:vertAnchor="text" w:horzAnchor="page" w:tblpX="1682" w:tblpY="106"/>
        <w:tblOverlap w:val="never"/>
        <w:tblW w:w="8817" w:type="dxa"/>
        <w:tblLook w:val="04A0" w:firstRow="1" w:lastRow="0" w:firstColumn="1" w:lastColumn="0" w:noHBand="0" w:noVBand="1"/>
      </w:tblPr>
      <w:tblGrid>
        <w:gridCol w:w="1245"/>
        <w:gridCol w:w="1230"/>
        <w:gridCol w:w="6342"/>
      </w:tblGrid>
      <w:tr w:rsidR="002A3DAB" w14:paraId="0C89B7C3" w14:textId="77777777">
        <w:tc>
          <w:tcPr>
            <w:tcW w:w="1245" w:type="dxa"/>
          </w:tcPr>
          <w:p w14:paraId="65FC3767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评分要素</w:t>
            </w:r>
          </w:p>
        </w:tc>
        <w:tc>
          <w:tcPr>
            <w:tcW w:w="1230" w:type="dxa"/>
          </w:tcPr>
          <w:p w14:paraId="17E649CE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评分要点</w:t>
            </w:r>
          </w:p>
          <w:p w14:paraId="78AA2013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</w:tcPr>
          <w:p w14:paraId="319D7A9B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具体描述</w:t>
            </w:r>
          </w:p>
          <w:p w14:paraId="01754FF9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2A3DAB" w14:paraId="428BAF72" w14:textId="77777777">
        <w:trPr>
          <w:trHeight w:hRule="exact" w:val="850"/>
        </w:trPr>
        <w:tc>
          <w:tcPr>
            <w:tcW w:w="1245" w:type="dxa"/>
            <w:vMerge w:val="restart"/>
            <w:vAlign w:val="center"/>
          </w:tcPr>
          <w:p w14:paraId="1A5B5F14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PPT 展示</w:t>
            </w:r>
          </w:p>
          <w:p w14:paraId="3E5B39D3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（70%）</w:t>
            </w:r>
          </w:p>
        </w:tc>
        <w:tc>
          <w:tcPr>
            <w:tcW w:w="1230" w:type="dxa"/>
            <w:vMerge w:val="restart"/>
            <w:vAlign w:val="center"/>
          </w:tcPr>
          <w:p w14:paraId="4CC634A6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作品陈述</w:t>
            </w:r>
          </w:p>
          <w:p w14:paraId="6ADE9021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（25%）</w:t>
            </w:r>
          </w:p>
        </w:tc>
        <w:tc>
          <w:tcPr>
            <w:tcW w:w="6342" w:type="dxa"/>
            <w:vAlign w:val="center"/>
          </w:tcPr>
          <w:p w14:paraId="774C3B4B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1．内容完整，对自我和外部环境分析全面，提出自己的职业目标、发展路径和行动计划。</w:t>
            </w:r>
          </w:p>
        </w:tc>
      </w:tr>
      <w:tr w:rsidR="002A3DAB" w14:paraId="430C548C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03D6845B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/>
            <w:vAlign w:val="center"/>
          </w:tcPr>
          <w:p w14:paraId="57A045AA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  <w:vAlign w:val="center"/>
          </w:tcPr>
          <w:p w14:paraId="3A9D63D9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2．思路清晰、逻辑合理，能准确把握职业规划设计的核心与关键。</w:t>
            </w:r>
          </w:p>
        </w:tc>
      </w:tr>
      <w:tr w:rsidR="002A3DAB" w14:paraId="279BA9A5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4B145B19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66F7988F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PPT 内容</w:t>
            </w:r>
          </w:p>
          <w:p w14:paraId="43A494EB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（15%）</w:t>
            </w:r>
          </w:p>
        </w:tc>
        <w:tc>
          <w:tcPr>
            <w:tcW w:w="6342" w:type="dxa"/>
            <w:vAlign w:val="center"/>
          </w:tcPr>
          <w:p w14:paraId="1BF1D596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PPT 设计简洁大方，重点突出，能够精确提炼职业规划项目要点。</w:t>
            </w:r>
          </w:p>
        </w:tc>
      </w:tr>
      <w:tr w:rsidR="002A3DAB" w14:paraId="18227B4B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19C7E3BA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247826AC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整体逻辑</w:t>
            </w:r>
          </w:p>
          <w:p w14:paraId="30704EA1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（10%）</w:t>
            </w:r>
          </w:p>
        </w:tc>
        <w:tc>
          <w:tcPr>
            <w:tcW w:w="6342" w:type="dxa"/>
            <w:vAlign w:val="center"/>
          </w:tcPr>
          <w:p w14:paraId="5F854E87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展示内容前后逻辑紧密，环节紧凑，设计合理。答辩内容与展示内容具有整体一致性，条理清晰，结论明确。</w:t>
            </w:r>
          </w:p>
        </w:tc>
      </w:tr>
      <w:tr w:rsidR="002A3DAB" w14:paraId="72CE1CBD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7DE0B573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309DE860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语言表达</w:t>
            </w:r>
          </w:p>
          <w:p w14:paraId="34E87E6C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（10%）</w:t>
            </w:r>
          </w:p>
        </w:tc>
        <w:tc>
          <w:tcPr>
            <w:tcW w:w="6342" w:type="dxa"/>
            <w:vAlign w:val="center"/>
          </w:tcPr>
          <w:p w14:paraId="5646BD04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语言运用准确、简洁、流畅而富有逻辑的严密性。表达具有说服力和感染力。语速适中，重点突出。</w:t>
            </w:r>
          </w:p>
        </w:tc>
      </w:tr>
      <w:tr w:rsidR="002A3DAB" w14:paraId="7B52CBE0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68317A24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4D279E1B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时间把控</w:t>
            </w:r>
          </w:p>
          <w:p w14:paraId="03E94249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（10%）</w:t>
            </w:r>
          </w:p>
        </w:tc>
        <w:tc>
          <w:tcPr>
            <w:tcW w:w="6342" w:type="dxa"/>
            <w:vAlign w:val="center"/>
          </w:tcPr>
          <w:p w14:paraId="26A0A125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在规定时间内完成陈述回答评委提问，无拖延时间行为。</w:t>
            </w:r>
          </w:p>
        </w:tc>
      </w:tr>
      <w:tr w:rsidR="002A3DAB" w14:paraId="43920A77" w14:textId="77777777">
        <w:trPr>
          <w:trHeight w:hRule="exact" w:val="850"/>
        </w:trPr>
        <w:tc>
          <w:tcPr>
            <w:tcW w:w="1245" w:type="dxa"/>
            <w:vMerge w:val="restart"/>
            <w:vAlign w:val="center"/>
          </w:tcPr>
          <w:p w14:paraId="32643C7F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现场答辩</w:t>
            </w:r>
          </w:p>
          <w:p w14:paraId="4A71B22C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（30%）</w:t>
            </w:r>
          </w:p>
        </w:tc>
        <w:tc>
          <w:tcPr>
            <w:tcW w:w="1230" w:type="dxa"/>
            <w:vMerge w:val="restart"/>
            <w:vAlign w:val="center"/>
          </w:tcPr>
          <w:p w14:paraId="06CD1A41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回答内容</w:t>
            </w:r>
          </w:p>
          <w:p w14:paraId="0574E20B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（15%）</w:t>
            </w:r>
          </w:p>
        </w:tc>
        <w:tc>
          <w:tcPr>
            <w:tcW w:w="6342" w:type="dxa"/>
            <w:vAlign w:val="center"/>
          </w:tcPr>
          <w:p w14:paraId="70107CD6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1.回答内容准确、精炼，重点突出、切合题意。</w:t>
            </w:r>
          </w:p>
        </w:tc>
      </w:tr>
      <w:tr w:rsidR="002A3DAB" w14:paraId="43DCB388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54A84049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/>
            <w:vAlign w:val="center"/>
          </w:tcPr>
          <w:p w14:paraId="55B70E2E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  <w:vAlign w:val="center"/>
          </w:tcPr>
          <w:p w14:paraId="6AA7D67F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2.回答内容真实可信，运用事实论据，论述有说服力。</w:t>
            </w:r>
          </w:p>
        </w:tc>
      </w:tr>
      <w:tr w:rsidR="002A3DAB" w14:paraId="7A0C131B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04E049BE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/>
            <w:vAlign w:val="center"/>
          </w:tcPr>
          <w:p w14:paraId="2B79AFA1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  <w:vAlign w:val="center"/>
          </w:tcPr>
          <w:p w14:paraId="76537067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3.答题过程条理清晰，层次分明，结论明确。</w:t>
            </w:r>
          </w:p>
        </w:tc>
      </w:tr>
      <w:tr w:rsidR="002A3DAB" w14:paraId="6776AA07" w14:textId="77777777">
        <w:trPr>
          <w:trHeight w:hRule="exact" w:val="850"/>
        </w:trPr>
        <w:tc>
          <w:tcPr>
            <w:tcW w:w="1245" w:type="dxa"/>
            <w:vMerge/>
            <w:vAlign w:val="center"/>
          </w:tcPr>
          <w:p w14:paraId="3C45DE08" w14:textId="77777777" w:rsidR="002A3DAB" w:rsidRDefault="002A3DAB">
            <w:pPr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 w:val="restart"/>
            <w:vAlign w:val="center"/>
          </w:tcPr>
          <w:p w14:paraId="5F63B00C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回答能力</w:t>
            </w:r>
          </w:p>
          <w:p w14:paraId="0E659FB8" w14:textId="77777777" w:rsidR="002A3DAB" w:rsidRDefault="00000000">
            <w:pPr>
              <w:widowControl/>
              <w:spacing w:line="40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（15%）</w:t>
            </w:r>
          </w:p>
        </w:tc>
        <w:tc>
          <w:tcPr>
            <w:tcW w:w="6342" w:type="dxa"/>
            <w:vAlign w:val="center"/>
          </w:tcPr>
          <w:p w14:paraId="6BAD03C6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1.能正确理解评委提问，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有针对性的回答。</w:t>
            </w:r>
          </w:p>
        </w:tc>
      </w:tr>
      <w:tr w:rsidR="002A3DAB" w14:paraId="599276D7" w14:textId="77777777">
        <w:trPr>
          <w:trHeight w:hRule="exact" w:val="850"/>
        </w:trPr>
        <w:tc>
          <w:tcPr>
            <w:tcW w:w="1245" w:type="dxa"/>
            <w:vMerge/>
          </w:tcPr>
          <w:p w14:paraId="4E65CC59" w14:textId="77777777" w:rsidR="002A3DAB" w:rsidRDefault="002A3DAB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/>
          </w:tcPr>
          <w:p w14:paraId="325D4B33" w14:textId="77777777" w:rsidR="002A3DAB" w:rsidRDefault="002A3DAB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  <w:vAlign w:val="center"/>
          </w:tcPr>
          <w:p w14:paraId="401AA756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2.应变能力强，能够灵活的、创造性的作答。</w:t>
            </w:r>
          </w:p>
        </w:tc>
      </w:tr>
      <w:tr w:rsidR="002A3DAB" w14:paraId="47A17689" w14:textId="77777777">
        <w:trPr>
          <w:trHeight w:hRule="exact" w:val="850"/>
        </w:trPr>
        <w:tc>
          <w:tcPr>
            <w:tcW w:w="1245" w:type="dxa"/>
            <w:vMerge/>
          </w:tcPr>
          <w:p w14:paraId="62E605D2" w14:textId="77777777" w:rsidR="002A3DAB" w:rsidRDefault="002A3DAB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30" w:type="dxa"/>
            <w:vMerge/>
          </w:tcPr>
          <w:p w14:paraId="2D7A42D3" w14:textId="77777777" w:rsidR="002A3DAB" w:rsidRDefault="002A3DAB">
            <w:pPr>
              <w:spacing w:line="400" w:lineRule="exact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6342" w:type="dxa"/>
            <w:vAlign w:val="center"/>
          </w:tcPr>
          <w:p w14:paraId="466263F5" w14:textId="77777777" w:rsidR="002A3DAB" w:rsidRDefault="00000000">
            <w:pPr>
              <w:widowControl/>
              <w:spacing w:line="40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3.答题过程流畅、无明显停顿。</w:t>
            </w:r>
          </w:p>
        </w:tc>
      </w:tr>
    </w:tbl>
    <w:p w14:paraId="184D3905" w14:textId="77777777" w:rsidR="002A3DAB" w:rsidRDefault="002A3DAB">
      <w:pPr>
        <w:tabs>
          <w:tab w:val="left" w:pos="1338"/>
        </w:tabs>
        <w:jc w:val="left"/>
      </w:pPr>
    </w:p>
    <w:sectPr w:rsidR="002A3DAB">
      <w:headerReference w:type="default" r:id="rId7"/>
      <w:pgSz w:w="11906" w:h="16838"/>
      <w:pgMar w:top="1240" w:right="1800" w:bottom="131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9F0AF" w14:textId="77777777" w:rsidR="00FD4B95" w:rsidRDefault="00FD4B95">
      <w:r>
        <w:separator/>
      </w:r>
    </w:p>
  </w:endnote>
  <w:endnote w:type="continuationSeparator" w:id="0">
    <w:p w14:paraId="15E41BCB" w14:textId="77777777" w:rsidR="00FD4B95" w:rsidRDefault="00FD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2B570" w14:textId="77777777" w:rsidR="00FD4B95" w:rsidRDefault="00FD4B95">
      <w:r>
        <w:separator/>
      </w:r>
    </w:p>
  </w:footnote>
  <w:footnote w:type="continuationSeparator" w:id="0">
    <w:p w14:paraId="68426963" w14:textId="77777777" w:rsidR="00FD4B95" w:rsidRDefault="00FD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0BA03" w14:textId="77777777" w:rsidR="002A3DAB" w:rsidRDefault="00000000">
    <w:pPr>
      <w:pStyle w:val="a4"/>
    </w:pPr>
    <w:r>
      <w:rPr>
        <w:rFonts w:ascii="Times New Roman" w:eastAsia="宋体" w:hAnsi="Times New Roman" w:cs="Times New Roman"/>
        <w:noProof/>
      </w:rPr>
      <w:drawing>
        <wp:inline distT="0" distB="0" distL="0" distR="0" wp14:anchorId="23AA3226" wp14:editId="5352A1C9">
          <wp:extent cx="4973320" cy="713740"/>
          <wp:effectExtent l="0" t="0" r="5080" b="10160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7332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663B9D"/>
    <w:rsid w:val="0023519E"/>
    <w:rsid w:val="002A3DAB"/>
    <w:rsid w:val="005F477E"/>
    <w:rsid w:val="006365F8"/>
    <w:rsid w:val="00772782"/>
    <w:rsid w:val="00774870"/>
    <w:rsid w:val="00FD4B95"/>
    <w:rsid w:val="0C1B79DB"/>
    <w:rsid w:val="10E37387"/>
    <w:rsid w:val="2952250A"/>
    <w:rsid w:val="35F95339"/>
    <w:rsid w:val="4B833FD2"/>
    <w:rsid w:val="59663B9D"/>
    <w:rsid w:val="6542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175F66"/>
  <w15:docId w15:val="{801CDA04-15FD-49EC-9047-E95F6E822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叶落 lng季节</dc:creator>
  <cp:lastModifiedBy>向 宇</cp:lastModifiedBy>
  <cp:revision>5</cp:revision>
  <dcterms:created xsi:type="dcterms:W3CDTF">2021-10-29T04:27:00Z</dcterms:created>
  <dcterms:modified xsi:type="dcterms:W3CDTF">2023-01-01T07:30:00Z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8237F8D7AE1A4196824C730D573584C7</vt:lpwstr>
  </property>
</Properties>
</file>